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4F1C" w14:textId="77777777" w:rsidR="00B470A6" w:rsidRDefault="00B470A6" w:rsidP="00B470A6">
      <w:pPr>
        <w:jc w:val="left"/>
      </w:pPr>
      <w:r>
        <w:rPr>
          <w:rFonts w:hint="eastAsia"/>
        </w:rPr>
        <w:t>特定処遇改善加算算定に係る「見える化要件」について</w:t>
      </w:r>
    </w:p>
    <w:p w14:paraId="7EE58480" w14:textId="77777777" w:rsidR="00B470A6" w:rsidRDefault="00B470A6" w:rsidP="00B470A6">
      <w:pPr>
        <w:jc w:val="left"/>
      </w:pPr>
    </w:p>
    <w:p w14:paraId="4B277E3A" w14:textId="77777777" w:rsidR="00B470A6" w:rsidRDefault="00B470A6" w:rsidP="00B470A6">
      <w:pPr>
        <w:jc w:val="left"/>
      </w:pPr>
    </w:p>
    <w:p w14:paraId="297A411C" w14:textId="4385C9BA" w:rsidR="00B470A6" w:rsidRDefault="00B470A6" w:rsidP="00B470A6">
      <w:pPr>
        <w:jc w:val="left"/>
      </w:pPr>
      <w:r>
        <w:rPr>
          <w:rFonts w:hint="eastAsia"/>
        </w:rPr>
        <w:t>福祉・介護職員等特定処遇改善加算算定に係る「見える化要件」について</w:t>
      </w:r>
    </w:p>
    <w:p w14:paraId="5220AAA9" w14:textId="77777777" w:rsidR="00B470A6" w:rsidRDefault="00B470A6" w:rsidP="00B470A6">
      <w:pPr>
        <w:jc w:val="left"/>
      </w:pPr>
    </w:p>
    <w:p w14:paraId="4A3FE6EB" w14:textId="16C33287" w:rsidR="00B470A6" w:rsidRDefault="00B470A6" w:rsidP="00B470A6">
      <w:pPr>
        <w:jc w:val="right"/>
      </w:pPr>
      <w:r>
        <w:rPr>
          <w:rFonts w:hint="eastAsia"/>
        </w:rPr>
        <w:t>株式会社スカイファーマ</w:t>
      </w:r>
    </w:p>
    <w:p w14:paraId="108A90D4" w14:textId="77777777" w:rsidR="00B470A6" w:rsidRDefault="00B470A6" w:rsidP="00B470A6">
      <w:pPr>
        <w:jc w:val="left"/>
      </w:pPr>
    </w:p>
    <w:p w14:paraId="2EE2C51F" w14:textId="77777777" w:rsidR="00B470A6" w:rsidRDefault="00B470A6" w:rsidP="00B470A6">
      <w:pPr>
        <w:jc w:val="left"/>
      </w:pPr>
    </w:p>
    <w:p w14:paraId="4CB10144" w14:textId="597615D2" w:rsidR="00B470A6" w:rsidRDefault="00B470A6" w:rsidP="00B470A6">
      <w:pPr>
        <w:jc w:val="left"/>
      </w:pPr>
      <w:r>
        <w:rPr>
          <w:rFonts w:hint="eastAsia"/>
        </w:rPr>
        <w:t>「福祉・介護職員等特定処遇改善加算」とは</w:t>
      </w:r>
    </w:p>
    <w:p w14:paraId="3D8A60B9" w14:textId="77777777" w:rsidR="00B470A6" w:rsidRDefault="00B470A6" w:rsidP="00B470A6">
      <w:pPr>
        <w:jc w:val="left"/>
      </w:pPr>
    </w:p>
    <w:p w14:paraId="00AD7CF1" w14:textId="0CF82CD3" w:rsidR="00B470A6" w:rsidRDefault="00B470A6" w:rsidP="00B470A6">
      <w:pPr>
        <w:jc w:val="left"/>
      </w:pPr>
      <w:r>
        <w:rPr>
          <w:rFonts w:hint="eastAsia"/>
        </w:rPr>
        <w:t>介護職員／福祉・介護職員の処遇改善についてこれまで取り組みが行われてきましたが、「新しい経済政策パッケージ（平成</w:t>
      </w:r>
      <w:r>
        <w:t xml:space="preserve"> 29 年 12 月 8 日閣議決定）」において、「 介護人材確保のための取り組みをより一層進めるため、経験・技能のある職員に重点化を図りながら、介護職員／福祉・介護職員の更なる処遇改善を進める」とされ、令和元年10月消費税引き上げに伴う報酬改定において「介護職員／福祉・介護職員特定処遇改善加算」が創設されました。この加算取得のためには、下記の3つの要件を全て満たしている必要があり</w:t>
      </w:r>
      <w:r>
        <w:rPr>
          <w:rFonts w:hint="eastAsia"/>
        </w:rPr>
        <w:t>ます。</w:t>
      </w:r>
    </w:p>
    <w:p w14:paraId="1A9ED3F6" w14:textId="7CBDCD54" w:rsidR="00B470A6" w:rsidRDefault="007F6E05" w:rsidP="007F6E05">
      <w:pPr>
        <w:jc w:val="left"/>
      </w:pPr>
      <w:r>
        <w:rPr>
          <w:rFonts w:hint="eastAsia"/>
        </w:rPr>
        <w:t>(1)</w:t>
      </w:r>
      <w:r w:rsidR="00B470A6">
        <w:t>処遇改善加算Ⅰ～Ⅲのいずれかを取得していること</w:t>
      </w:r>
    </w:p>
    <w:p w14:paraId="5A3656DD" w14:textId="6FD367C0" w:rsidR="00B470A6" w:rsidRDefault="007F6E05" w:rsidP="00B470A6">
      <w:pPr>
        <w:jc w:val="left"/>
      </w:pPr>
      <w:r>
        <w:rPr>
          <w:rFonts w:hint="eastAsia"/>
        </w:rPr>
        <w:t>(2)</w:t>
      </w:r>
      <w:r w:rsidR="00B470A6">
        <w:t>処遇改善加算の職場環境等要件に関し、</w:t>
      </w:r>
      <w:r w:rsidR="00B470A6">
        <w:rPr>
          <w:rFonts w:hint="eastAsia"/>
        </w:rPr>
        <w:t>それぞれ1つ以上</w:t>
      </w:r>
      <w:r w:rsidR="00B470A6">
        <w:t>の取り組みを行っていること</w:t>
      </w:r>
    </w:p>
    <w:p w14:paraId="71AF4119" w14:textId="41D399F2" w:rsidR="00B470A6" w:rsidRDefault="007F6E05" w:rsidP="00B470A6">
      <w:pPr>
        <w:jc w:val="left"/>
      </w:pPr>
      <w:r>
        <w:rPr>
          <w:rFonts w:hint="eastAsia"/>
        </w:rPr>
        <w:t>(3)</w:t>
      </w:r>
      <w:r w:rsidR="00B470A6">
        <w:t>処遇改善加算に基づく取り組みについて、ホームページ掲載等を通じた見える化を行っていること</w:t>
      </w:r>
    </w:p>
    <w:p w14:paraId="6B615850" w14:textId="77777777" w:rsidR="00B470A6" w:rsidRDefault="00B470A6" w:rsidP="00B470A6">
      <w:pPr>
        <w:jc w:val="left"/>
      </w:pPr>
    </w:p>
    <w:p w14:paraId="1085D533" w14:textId="77777777" w:rsidR="00B470A6" w:rsidRDefault="00B470A6" w:rsidP="00B470A6">
      <w:pPr>
        <w:jc w:val="left"/>
      </w:pPr>
      <w:r>
        <w:rPr>
          <w:rFonts w:hint="eastAsia"/>
        </w:rPr>
        <w:t>「見える化」要件とは</w:t>
      </w:r>
    </w:p>
    <w:p w14:paraId="7950BACC" w14:textId="77777777" w:rsidR="00B470A6" w:rsidRDefault="00B470A6" w:rsidP="00B470A6">
      <w:pPr>
        <w:jc w:val="left"/>
      </w:pPr>
    </w:p>
    <w:p w14:paraId="291B29EF" w14:textId="78CF0CC4" w:rsidR="00B470A6" w:rsidRDefault="00B470A6" w:rsidP="00B470A6">
      <w:pPr>
        <w:jc w:val="left"/>
      </w:pPr>
      <w:r>
        <w:rPr>
          <w:rFonts w:hint="eastAsia"/>
        </w:rPr>
        <w:t>福祉・介護職員等特定処遇改善加算を取得するためには、上記算定要件についての具体的な取り組み内容を「見える化」</w:t>
      </w:r>
      <w:r>
        <w:t xml:space="preserve"> ＝「情報公開制度や法人ホームページを活用するなどして、外部から見える形で公開すること」が求められます。</w:t>
      </w:r>
    </w:p>
    <w:p w14:paraId="12247930" w14:textId="77777777" w:rsidR="00B470A6" w:rsidRDefault="00B470A6" w:rsidP="00B470A6">
      <w:pPr>
        <w:jc w:val="left"/>
      </w:pPr>
    </w:p>
    <w:p w14:paraId="59EBC426" w14:textId="31803819" w:rsidR="00B470A6" w:rsidRDefault="00B470A6" w:rsidP="00B470A6">
      <w:pPr>
        <w:jc w:val="left"/>
      </w:pPr>
      <w:r>
        <w:rPr>
          <w:rFonts w:hint="eastAsia"/>
        </w:rPr>
        <w:t>◆</w:t>
      </w:r>
      <w:r>
        <w:t>福祉・介護職員等処遇改善加算・特定処遇改善加算取得状況</w:t>
      </w:r>
    </w:p>
    <w:p w14:paraId="1BBE9BCA" w14:textId="6A9D7DD7" w:rsidR="00B470A6" w:rsidRDefault="00B470A6" w:rsidP="007F6E05">
      <w:pPr>
        <w:jc w:val="left"/>
      </w:pPr>
      <w:r>
        <w:t>処遇改善加算Ⅰ</w:t>
      </w:r>
    </w:p>
    <w:p w14:paraId="7A6B6574" w14:textId="77D4B612" w:rsidR="00B470A6" w:rsidRDefault="00B470A6" w:rsidP="00B470A6">
      <w:pPr>
        <w:jc w:val="left"/>
      </w:pPr>
      <w:r>
        <w:rPr>
          <w:rFonts w:hint="eastAsia"/>
        </w:rPr>
        <w:t>特定処遇改善加算Ⅱ</w:t>
      </w:r>
    </w:p>
    <w:p w14:paraId="2AB0488E" w14:textId="77777777" w:rsidR="007F6E05" w:rsidRDefault="007F6E05" w:rsidP="00B470A6">
      <w:pPr>
        <w:jc w:val="left"/>
      </w:pPr>
    </w:p>
    <w:p w14:paraId="05200184" w14:textId="1EF4E96E" w:rsidR="00B470A6" w:rsidRDefault="00B470A6" w:rsidP="00B470A6">
      <w:pPr>
        <w:jc w:val="left"/>
      </w:pPr>
      <w:r>
        <w:rPr>
          <w:rFonts w:hint="eastAsia"/>
        </w:rPr>
        <w:t>※なお、各施設・事業所の取得状況は下記にて公表しております。</w:t>
      </w:r>
    </w:p>
    <w:p w14:paraId="2B8022DD" w14:textId="77777777" w:rsidR="00B470A6" w:rsidRDefault="00B470A6" w:rsidP="00B470A6">
      <w:pPr>
        <w:jc w:val="left"/>
      </w:pPr>
      <w:r>
        <w:rPr>
          <w:rFonts w:hint="eastAsia"/>
        </w:rPr>
        <w:t>［障がい部門］</w:t>
      </w:r>
      <w:r>
        <w:t xml:space="preserve"> 障害福祉サービス等情報検索システム</w:t>
      </w:r>
    </w:p>
    <w:p w14:paraId="6DC635F3" w14:textId="77777777" w:rsidR="00B470A6" w:rsidRDefault="00B470A6" w:rsidP="00B470A6">
      <w:pPr>
        <w:jc w:val="left"/>
      </w:pPr>
    </w:p>
    <w:p w14:paraId="4296951B" w14:textId="77777777" w:rsidR="00B470A6" w:rsidRDefault="00B470A6" w:rsidP="00B470A6">
      <w:pPr>
        <w:jc w:val="left"/>
      </w:pPr>
    </w:p>
    <w:p w14:paraId="083D40FA" w14:textId="34ABEC57" w:rsidR="00A17368" w:rsidRDefault="00B470A6" w:rsidP="00B470A6">
      <w:pPr>
        <w:jc w:val="left"/>
      </w:pPr>
      <w:r>
        <w:rPr>
          <w:rFonts w:hint="eastAsia"/>
        </w:rPr>
        <w:lastRenderedPageBreak/>
        <w:t>職場環境等要件について</w:t>
      </w:r>
    </w:p>
    <w:p w14:paraId="7BF9C742" w14:textId="51A23204" w:rsidR="00AB52F8" w:rsidRDefault="00AB52F8" w:rsidP="00B470A6">
      <w:pPr>
        <w:jc w:val="left"/>
      </w:pPr>
      <w:r>
        <w:rPr>
          <w:rFonts w:hint="eastAsia"/>
        </w:rPr>
        <w:t>※</w:t>
      </w:r>
      <w:r w:rsidR="00052434">
        <w:rPr>
          <w:rFonts w:hint="eastAsia"/>
        </w:rPr>
        <w:t>見える化要件に基づき、特定加算の取得状況を報告し、賃金以外の処遇改善に関する具体的な取り組み内容を下記に掲示致します。</w:t>
      </w:r>
    </w:p>
    <w:tbl>
      <w:tblPr>
        <w:tblStyle w:val="a4"/>
        <w:tblW w:w="0" w:type="auto"/>
        <w:tblLook w:val="04A0" w:firstRow="1" w:lastRow="0" w:firstColumn="1" w:lastColumn="0" w:noHBand="0" w:noVBand="1"/>
      </w:tblPr>
      <w:tblGrid>
        <w:gridCol w:w="1082"/>
        <w:gridCol w:w="7152"/>
        <w:gridCol w:w="260"/>
      </w:tblGrid>
      <w:tr w:rsidR="00656564" w:rsidRPr="00656564" w14:paraId="60BB3F88" w14:textId="77777777" w:rsidTr="00656564">
        <w:trPr>
          <w:trHeight w:val="270"/>
        </w:trPr>
        <w:tc>
          <w:tcPr>
            <w:tcW w:w="1160" w:type="dxa"/>
            <w:hideMark/>
          </w:tcPr>
          <w:p w14:paraId="6EED2848" w14:textId="77777777" w:rsidR="00656564" w:rsidRPr="00656564" w:rsidRDefault="00656564" w:rsidP="00656564">
            <w:pPr>
              <w:jc w:val="left"/>
            </w:pPr>
            <w:r w:rsidRPr="00656564">
              <w:rPr>
                <w:rFonts w:hint="eastAsia"/>
              </w:rPr>
              <w:t>区分</w:t>
            </w:r>
          </w:p>
        </w:tc>
        <w:tc>
          <w:tcPr>
            <w:tcW w:w="8340" w:type="dxa"/>
            <w:hideMark/>
          </w:tcPr>
          <w:p w14:paraId="1B2F4446" w14:textId="77777777" w:rsidR="00656564" w:rsidRPr="00656564" w:rsidRDefault="00656564" w:rsidP="00656564">
            <w:pPr>
              <w:jc w:val="left"/>
            </w:pPr>
            <w:r w:rsidRPr="00656564">
              <w:rPr>
                <w:rFonts w:hint="eastAsia"/>
              </w:rPr>
              <w:t xml:space="preserve">　</w:t>
            </w:r>
          </w:p>
        </w:tc>
        <w:tc>
          <w:tcPr>
            <w:tcW w:w="260" w:type="dxa"/>
            <w:noWrap/>
            <w:hideMark/>
          </w:tcPr>
          <w:p w14:paraId="7F5AFD7A" w14:textId="77777777" w:rsidR="00656564" w:rsidRPr="00656564" w:rsidRDefault="00656564" w:rsidP="00656564">
            <w:pPr>
              <w:jc w:val="left"/>
              <w:rPr>
                <w:b/>
                <w:bCs/>
              </w:rPr>
            </w:pPr>
            <w:r w:rsidRPr="00656564">
              <w:rPr>
                <w:rFonts w:hint="eastAsia"/>
                <w:b/>
                <w:bCs/>
              </w:rPr>
              <w:t xml:space="preserve">　</w:t>
            </w:r>
          </w:p>
        </w:tc>
      </w:tr>
      <w:tr w:rsidR="00656564" w:rsidRPr="00656564" w14:paraId="57434CEA" w14:textId="77777777" w:rsidTr="00656564">
        <w:trPr>
          <w:trHeight w:val="300"/>
        </w:trPr>
        <w:tc>
          <w:tcPr>
            <w:tcW w:w="1160" w:type="dxa"/>
            <w:vMerge w:val="restart"/>
            <w:hideMark/>
          </w:tcPr>
          <w:p w14:paraId="0A813B52" w14:textId="77777777" w:rsidR="00656564" w:rsidRPr="00656564" w:rsidRDefault="00656564" w:rsidP="00656564">
            <w:pPr>
              <w:jc w:val="left"/>
            </w:pPr>
            <w:r w:rsidRPr="00656564">
              <w:rPr>
                <w:rFonts w:hint="eastAsia"/>
              </w:rPr>
              <w:t>入職促進に向けた取組</w:t>
            </w:r>
          </w:p>
        </w:tc>
        <w:tc>
          <w:tcPr>
            <w:tcW w:w="8600" w:type="dxa"/>
            <w:gridSpan w:val="2"/>
            <w:hideMark/>
          </w:tcPr>
          <w:p w14:paraId="1ACD7662" w14:textId="77777777" w:rsidR="00656564" w:rsidRPr="00656564" w:rsidRDefault="00656564">
            <w:pPr>
              <w:jc w:val="left"/>
            </w:pPr>
            <w:r w:rsidRPr="00656564">
              <w:rPr>
                <w:rFonts w:hint="eastAsia"/>
              </w:rPr>
              <w:t>法人や事業所の経営理念や支援方針・人材育成方針、その実現のための施策・仕組みなどの明確化</w:t>
            </w:r>
          </w:p>
        </w:tc>
      </w:tr>
      <w:tr w:rsidR="00656564" w:rsidRPr="00656564" w14:paraId="31EAA107" w14:textId="77777777" w:rsidTr="00656564">
        <w:trPr>
          <w:trHeight w:val="300"/>
        </w:trPr>
        <w:tc>
          <w:tcPr>
            <w:tcW w:w="1160" w:type="dxa"/>
            <w:vMerge/>
            <w:hideMark/>
          </w:tcPr>
          <w:p w14:paraId="4BEA9981" w14:textId="77777777" w:rsidR="00656564" w:rsidRPr="00656564" w:rsidRDefault="00656564" w:rsidP="00656564">
            <w:pPr>
              <w:jc w:val="left"/>
            </w:pPr>
          </w:p>
        </w:tc>
        <w:tc>
          <w:tcPr>
            <w:tcW w:w="8600" w:type="dxa"/>
            <w:gridSpan w:val="2"/>
            <w:hideMark/>
          </w:tcPr>
          <w:p w14:paraId="020FC44E" w14:textId="77777777" w:rsidR="00656564" w:rsidRPr="00656564" w:rsidRDefault="00656564" w:rsidP="00656564">
            <w:pPr>
              <w:jc w:val="left"/>
            </w:pPr>
            <w:r w:rsidRPr="00656564">
              <w:rPr>
                <w:rFonts w:hint="eastAsia"/>
              </w:rPr>
              <w:t>他産業からの転職者、主婦層、中高年齢者等、経験者・有資格者にこだわらない幅広い採用の仕組みの構築</w:t>
            </w:r>
          </w:p>
        </w:tc>
      </w:tr>
      <w:tr w:rsidR="00656564" w:rsidRPr="00656564" w14:paraId="0FE9B3E7" w14:textId="77777777" w:rsidTr="00656564">
        <w:trPr>
          <w:trHeight w:val="300"/>
        </w:trPr>
        <w:tc>
          <w:tcPr>
            <w:tcW w:w="1160" w:type="dxa"/>
            <w:vMerge/>
            <w:hideMark/>
          </w:tcPr>
          <w:p w14:paraId="11306855" w14:textId="77777777" w:rsidR="00656564" w:rsidRPr="00656564" w:rsidRDefault="00656564" w:rsidP="00656564">
            <w:pPr>
              <w:jc w:val="left"/>
            </w:pPr>
          </w:p>
        </w:tc>
        <w:tc>
          <w:tcPr>
            <w:tcW w:w="8600" w:type="dxa"/>
            <w:gridSpan w:val="2"/>
            <w:hideMark/>
          </w:tcPr>
          <w:p w14:paraId="091F46BF" w14:textId="77777777" w:rsidR="00656564" w:rsidRPr="00656564" w:rsidRDefault="00656564" w:rsidP="00656564">
            <w:pPr>
              <w:jc w:val="left"/>
            </w:pPr>
            <w:r w:rsidRPr="00656564">
              <w:rPr>
                <w:rFonts w:hint="eastAsia"/>
              </w:rPr>
              <w:t>職業体験の受入れや地域行事への参加や主催等による職業魅力向上の取組の実施</w:t>
            </w:r>
          </w:p>
        </w:tc>
      </w:tr>
      <w:tr w:rsidR="00656564" w:rsidRPr="00656564" w14:paraId="5BFF74D6" w14:textId="77777777" w:rsidTr="00656564">
        <w:trPr>
          <w:trHeight w:val="600"/>
        </w:trPr>
        <w:tc>
          <w:tcPr>
            <w:tcW w:w="1160" w:type="dxa"/>
            <w:vMerge w:val="restart"/>
            <w:hideMark/>
          </w:tcPr>
          <w:p w14:paraId="13A76655" w14:textId="77777777" w:rsidR="00656564" w:rsidRPr="00656564" w:rsidRDefault="00656564" w:rsidP="00656564">
            <w:pPr>
              <w:jc w:val="left"/>
            </w:pPr>
            <w:r w:rsidRPr="00656564">
              <w:rPr>
                <w:rFonts w:hint="eastAsia"/>
              </w:rPr>
              <w:t>資質の向上やキャリアアップに向けた支援</w:t>
            </w:r>
          </w:p>
        </w:tc>
        <w:tc>
          <w:tcPr>
            <w:tcW w:w="8600" w:type="dxa"/>
            <w:gridSpan w:val="2"/>
            <w:hideMark/>
          </w:tcPr>
          <w:p w14:paraId="180D9450" w14:textId="77777777" w:rsidR="00656564" w:rsidRPr="00656564" w:rsidRDefault="00656564">
            <w:pPr>
              <w:jc w:val="left"/>
            </w:pPr>
            <w:r w:rsidRPr="00656564">
              <w:rPr>
                <w:rFonts w:hint="eastAsia"/>
              </w:rPr>
              <w:t>働きながら介護福祉士等の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等</w:t>
            </w:r>
          </w:p>
        </w:tc>
      </w:tr>
      <w:tr w:rsidR="00656564" w:rsidRPr="00656564" w14:paraId="4825932E" w14:textId="77777777" w:rsidTr="00656564">
        <w:trPr>
          <w:trHeight w:val="300"/>
        </w:trPr>
        <w:tc>
          <w:tcPr>
            <w:tcW w:w="1160" w:type="dxa"/>
            <w:vMerge/>
            <w:hideMark/>
          </w:tcPr>
          <w:p w14:paraId="72322349" w14:textId="77777777" w:rsidR="00656564" w:rsidRPr="00656564" w:rsidRDefault="00656564" w:rsidP="00656564">
            <w:pPr>
              <w:jc w:val="left"/>
            </w:pPr>
          </w:p>
        </w:tc>
        <w:tc>
          <w:tcPr>
            <w:tcW w:w="8600" w:type="dxa"/>
            <w:gridSpan w:val="2"/>
            <w:hideMark/>
          </w:tcPr>
          <w:p w14:paraId="088096CB" w14:textId="77777777" w:rsidR="00656564" w:rsidRPr="00656564" w:rsidRDefault="00656564" w:rsidP="00656564">
            <w:pPr>
              <w:jc w:val="left"/>
            </w:pPr>
            <w:r w:rsidRPr="00656564">
              <w:rPr>
                <w:rFonts w:hint="eastAsia"/>
              </w:rPr>
              <w:t>研修の受講やキャリア段位制度と人事考課との連動</w:t>
            </w:r>
          </w:p>
        </w:tc>
      </w:tr>
      <w:tr w:rsidR="00656564" w:rsidRPr="00656564" w14:paraId="29C6DA8B" w14:textId="77777777" w:rsidTr="00656564">
        <w:trPr>
          <w:trHeight w:val="300"/>
        </w:trPr>
        <w:tc>
          <w:tcPr>
            <w:tcW w:w="1160" w:type="dxa"/>
            <w:vMerge w:val="restart"/>
            <w:hideMark/>
          </w:tcPr>
          <w:p w14:paraId="648C36B5" w14:textId="77777777" w:rsidR="00656564" w:rsidRPr="00656564" w:rsidRDefault="00656564" w:rsidP="00656564">
            <w:pPr>
              <w:jc w:val="left"/>
            </w:pPr>
            <w:r w:rsidRPr="00656564">
              <w:rPr>
                <w:rFonts w:hint="eastAsia"/>
              </w:rPr>
              <w:t>両立支援・多様な働き方の推進</w:t>
            </w:r>
          </w:p>
        </w:tc>
        <w:tc>
          <w:tcPr>
            <w:tcW w:w="8600" w:type="dxa"/>
            <w:gridSpan w:val="2"/>
            <w:hideMark/>
          </w:tcPr>
          <w:p w14:paraId="721BA647" w14:textId="77777777" w:rsidR="00656564" w:rsidRPr="00656564" w:rsidRDefault="00656564">
            <w:pPr>
              <w:jc w:val="left"/>
            </w:pPr>
            <w:r w:rsidRPr="00656564">
              <w:rPr>
                <w:rFonts w:hint="eastAsia"/>
              </w:rPr>
              <w:t>子育てや家族等の介護等と仕事の両立を目指すための休業制度等の充実、事業所内託児施設の整備</w:t>
            </w:r>
          </w:p>
        </w:tc>
      </w:tr>
      <w:tr w:rsidR="00656564" w:rsidRPr="00656564" w14:paraId="518AF1E5" w14:textId="77777777" w:rsidTr="00656564">
        <w:trPr>
          <w:trHeight w:val="600"/>
        </w:trPr>
        <w:tc>
          <w:tcPr>
            <w:tcW w:w="1160" w:type="dxa"/>
            <w:vMerge/>
            <w:hideMark/>
          </w:tcPr>
          <w:p w14:paraId="4CBADDF0" w14:textId="77777777" w:rsidR="00656564" w:rsidRPr="00656564" w:rsidRDefault="00656564" w:rsidP="00656564">
            <w:pPr>
              <w:jc w:val="left"/>
            </w:pPr>
          </w:p>
        </w:tc>
        <w:tc>
          <w:tcPr>
            <w:tcW w:w="8600" w:type="dxa"/>
            <w:gridSpan w:val="2"/>
            <w:hideMark/>
          </w:tcPr>
          <w:p w14:paraId="37E1190E" w14:textId="77777777" w:rsidR="00656564" w:rsidRPr="00656564" w:rsidRDefault="00656564" w:rsidP="00656564">
            <w:pPr>
              <w:jc w:val="left"/>
            </w:pPr>
            <w:r w:rsidRPr="00656564">
              <w:rPr>
                <w:rFonts w:hint="eastAsia"/>
              </w:rPr>
              <w:t>職員の事情等の状況に応じた勤務シフトや短時間正規職員制度の導入、職員の希望に即した非正規職員か正規職員への転換の制度等の整備</w:t>
            </w:r>
          </w:p>
        </w:tc>
      </w:tr>
      <w:tr w:rsidR="00656564" w:rsidRPr="00656564" w14:paraId="66C86F9D" w14:textId="77777777" w:rsidTr="00656564">
        <w:trPr>
          <w:trHeight w:val="300"/>
        </w:trPr>
        <w:tc>
          <w:tcPr>
            <w:tcW w:w="1160" w:type="dxa"/>
            <w:vMerge/>
            <w:hideMark/>
          </w:tcPr>
          <w:p w14:paraId="5A6EC6CA" w14:textId="77777777" w:rsidR="00656564" w:rsidRPr="00656564" w:rsidRDefault="00656564" w:rsidP="00656564">
            <w:pPr>
              <w:jc w:val="left"/>
            </w:pPr>
          </w:p>
        </w:tc>
        <w:tc>
          <w:tcPr>
            <w:tcW w:w="8600" w:type="dxa"/>
            <w:gridSpan w:val="2"/>
            <w:hideMark/>
          </w:tcPr>
          <w:p w14:paraId="66CD2319" w14:textId="77777777" w:rsidR="00656564" w:rsidRPr="00656564" w:rsidRDefault="00656564" w:rsidP="00656564">
            <w:pPr>
              <w:jc w:val="left"/>
            </w:pPr>
            <w:r w:rsidRPr="00656564">
              <w:rPr>
                <w:rFonts w:hint="eastAsia"/>
              </w:rPr>
              <w:t>有給休暇が取得しやすい環境の整備</w:t>
            </w:r>
          </w:p>
        </w:tc>
      </w:tr>
      <w:tr w:rsidR="00656564" w:rsidRPr="00656564" w14:paraId="3923B0FB" w14:textId="77777777" w:rsidTr="00656564">
        <w:trPr>
          <w:trHeight w:val="300"/>
        </w:trPr>
        <w:tc>
          <w:tcPr>
            <w:tcW w:w="1160" w:type="dxa"/>
            <w:vMerge/>
            <w:hideMark/>
          </w:tcPr>
          <w:p w14:paraId="326ECBB4" w14:textId="77777777" w:rsidR="00656564" w:rsidRPr="00656564" w:rsidRDefault="00656564" w:rsidP="00656564">
            <w:pPr>
              <w:jc w:val="left"/>
            </w:pPr>
          </w:p>
        </w:tc>
        <w:tc>
          <w:tcPr>
            <w:tcW w:w="8600" w:type="dxa"/>
            <w:gridSpan w:val="2"/>
            <w:hideMark/>
          </w:tcPr>
          <w:p w14:paraId="5F8980EB" w14:textId="77777777" w:rsidR="00656564" w:rsidRPr="00656564" w:rsidRDefault="00656564" w:rsidP="00656564">
            <w:pPr>
              <w:jc w:val="left"/>
            </w:pPr>
            <w:r w:rsidRPr="00656564">
              <w:rPr>
                <w:rFonts w:hint="eastAsia"/>
              </w:rPr>
              <w:t>障害を有する者でも働きやすい職場環境の構築や勤務シフトの配慮</w:t>
            </w:r>
          </w:p>
        </w:tc>
      </w:tr>
      <w:tr w:rsidR="00656564" w:rsidRPr="00656564" w14:paraId="6B3817A0" w14:textId="77777777" w:rsidTr="00656564">
        <w:trPr>
          <w:trHeight w:val="600"/>
        </w:trPr>
        <w:tc>
          <w:tcPr>
            <w:tcW w:w="1160" w:type="dxa"/>
            <w:hideMark/>
          </w:tcPr>
          <w:p w14:paraId="29495F75" w14:textId="77777777" w:rsidR="00656564" w:rsidRPr="00656564" w:rsidRDefault="00656564" w:rsidP="00656564">
            <w:pPr>
              <w:jc w:val="left"/>
            </w:pPr>
            <w:r w:rsidRPr="00656564">
              <w:rPr>
                <w:rFonts w:hint="eastAsia"/>
              </w:rPr>
              <w:t>腰痛を含む心身の健康管理</w:t>
            </w:r>
          </w:p>
        </w:tc>
        <w:tc>
          <w:tcPr>
            <w:tcW w:w="8600" w:type="dxa"/>
            <w:gridSpan w:val="2"/>
            <w:hideMark/>
          </w:tcPr>
          <w:p w14:paraId="7EDFCFE9" w14:textId="77777777" w:rsidR="00656564" w:rsidRPr="00656564" w:rsidRDefault="00656564">
            <w:pPr>
              <w:jc w:val="left"/>
            </w:pPr>
            <w:r w:rsidRPr="00656564">
              <w:rPr>
                <w:rFonts w:hint="eastAsia"/>
              </w:rPr>
              <w:t>短時間勤務労働者等も受診可能な健康診断・ストレスチェックや、従業者のための休憩室の設置等健康管理対策の実施</w:t>
            </w:r>
          </w:p>
        </w:tc>
      </w:tr>
      <w:tr w:rsidR="00656564" w:rsidRPr="00656564" w14:paraId="79B737E0" w14:textId="77777777" w:rsidTr="00656564">
        <w:trPr>
          <w:trHeight w:val="648"/>
        </w:trPr>
        <w:tc>
          <w:tcPr>
            <w:tcW w:w="1160" w:type="dxa"/>
            <w:vMerge w:val="restart"/>
            <w:hideMark/>
          </w:tcPr>
          <w:p w14:paraId="61EF4A3C" w14:textId="77777777" w:rsidR="00656564" w:rsidRPr="00656564" w:rsidRDefault="00656564" w:rsidP="00656564">
            <w:pPr>
              <w:jc w:val="left"/>
            </w:pPr>
            <w:r w:rsidRPr="00656564">
              <w:rPr>
                <w:rFonts w:hint="eastAsia"/>
              </w:rPr>
              <w:t>生産性向上のための業務改善の取組</w:t>
            </w:r>
          </w:p>
        </w:tc>
        <w:tc>
          <w:tcPr>
            <w:tcW w:w="8600" w:type="dxa"/>
            <w:gridSpan w:val="2"/>
            <w:hideMark/>
          </w:tcPr>
          <w:p w14:paraId="33FFDC67" w14:textId="77777777" w:rsidR="00656564" w:rsidRPr="00656564" w:rsidRDefault="00656564">
            <w:pPr>
              <w:jc w:val="left"/>
            </w:pPr>
            <w:r w:rsidRPr="00656564">
              <w:rPr>
                <w:rFonts w:hint="eastAsia"/>
              </w:rPr>
              <w:t>高齢者の活躍（居室やフロア等の掃除、食事の配膳、下膳などのほか、経理や労務、広報なども含めた介護業務以外の業務の提供）等による役割分担の明確化</w:t>
            </w:r>
          </w:p>
        </w:tc>
      </w:tr>
      <w:tr w:rsidR="00656564" w:rsidRPr="00656564" w14:paraId="4934ACDB" w14:textId="77777777" w:rsidTr="00656564">
        <w:trPr>
          <w:trHeight w:val="324"/>
        </w:trPr>
        <w:tc>
          <w:tcPr>
            <w:tcW w:w="1160" w:type="dxa"/>
            <w:vMerge/>
            <w:hideMark/>
          </w:tcPr>
          <w:p w14:paraId="04E79220" w14:textId="77777777" w:rsidR="00656564" w:rsidRPr="00656564" w:rsidRDefault="00656564" w:rsidP="00656564">
            <w:pPr>
              <w:jc w:val="left"/>
            </w:pPr>
          </w:p>
        </w:tc>
        <w:tc>
          <w:tcPr>
            <w:tcW w:w="8600" w:type="dxa"/>
            <w:gridSpan w:val="2"/>
            <w:hideMark/>
          </w:tcPr>
          <w:p w14:paraId="42DD91F1" w14:textId="77777777" w:rsidR="00656564" w:rsidRPr="00656564" w:rsidRDefault="00656564" w:rsidP="00656564">
            <w:pPr>
              <w:jc w:val="left"/>
            </w:pPr>
            <w:r w:rsidRPr="00656564">
              <w:rPr>
                <w:rFonts w:hint="eastAsia"/>
              </w:rPr>
              <w:t>業務手順書の作成や、記録・報告様式の工夫等による情報共有や作業負担の軽減</w:t>
            </w:r>
          </w:p>
        </w:tc>
      </w:tr>
      <w:tr w:rsidR="00656564" w:rsidRPr="00656564" w14:paraId="07BDF878" w14:textId="77777777" w:rsidTr="00656564">
        <w:trPr>
          <w:trHeight w:val="600"/>
        </w:trPr>
        <w:tc>
          <w:tcPr>
            <w:tcW w:w="1160" w:type="dxa"/>
            <w:vMerge w:val="restart"/>
            <w:hideMark/>
          </w:tcPr>
          <w:p w14:paraId="04D83364" w14:textId="77777777" w:rsidR="00656564" w:rsidRPr="00656564" w:rsidRDefault="00656564" w:rsidP="00656564">
            <w:pPr>
              <w:jc w:val="left"/>
            </w:pPr>
            <w:r w:rsidRPr="00656564">
              <w:rPr>
                <w:rFonts w:hint="eastAsia"/>
              </w:rPr>
              <w:t>やりがい・働きがいの構成</w:t>
            </w:r>
          </w:p>
        </w:tc>
        <w:tc>
          <w:tcPr>
            <w:tcW w:w="8600" w:type="dxa"/>
            <w:gridSpan w:val="2"/>
            <w:hideMark/>
          </w:tcPr>
          <w:p w14:paraId="75383108" w14:textId="77777777" w:rsidR="00656564" w:rsidRPr="00656564" w:rsidRDefault="00656564">
            <w:pPr>
              <w:jc w:val="left"/>
            </w:pPr>
            <w:r w:rsidRPr="00656564">
              <w:rPr>
                <w:rFonts w:hint="eastAsia"/>
              </w:rPr>
              <w:t>ミーティング等による職場内コミュニケーションの円滑化による個々の福祉・介護職員の気づきを踏まえた勤務環境や支援内容の改善</w:t>
            </w:r>
          </w:p>
        </w:tc>
      </w:tr>
      <w:tr w:rsidR="00656564" w:rsidRPr="00656564" w14:paraId="71EB915A" w14:textId="77777777" w:rsidTr="00656564">
        <w:trPr>
          <w:trHeight w:val="300"/>
        </w:trPr>
        <w:tc>
          <w:tcPr>
            <w:tcW w:w="1160" w:type="dxa"/>
            <w:vMerge/>
            <w:hideMark/>
          </w:tcPr>
          <w:p w14:paraId="1DF1D11D" w14:textId="77777777" w:rsidR="00656564" w:rsidRPr="00656564" w:rsidRDefault="00656564" w:rsidP="00656564">
            <w:pPr>
              <w:jc w:val="left"/>
            </w:pPr>
          </w:p>
        </w:tc>
        <w:tc>
          <w:tcPr>
            <w:tcW w:w="8600" w:type="dxa"/>
            <w:gridSpan w:val="2"/>
            <w:hideMark/>
          </w:tcPr>
          <w:p w14:paraId="60EFFDE1" w14:textId="77777777" w:rsidR="00656564" w:rsidRPr="00656564" w:rsidRDefault="00656564" w:rsidP="00656564">
            <w:pPr>
              <w:jc w:val="left"/>
            </w:pPr>
            <w:r w:rsidRPr="00656564">
              <w:rPr>
                <w:rFonts w:hint="eastAsia"/>
              </w:rPr>
              <w:t>利用者本位の支援方針など障害福祉や法人の理念等を定期的に学ぶ機会の提供</w:t>
            </w:r>
          </w:p>
        </w:tc>
      </w:tr>
      <w:tr w:rsidR="00656564" w:rsidRPr="00656564" w14:paraId="6A2B3DF2" w14:textId="77777777" w:rsidTr="00656564">
        <w:trPr>
          <w:trHeight w:val="300"/>
        </w:trPr>
        <w:tc>
          <w:tcPr>
            <w:tcW w:w="1160" w:type="dxa"/>
            <w:vMerge/>
            <w:hideMark/>
          </w:tcPr>
          <w:p w14:paraId="75342A1F" w14:textId="77777777" w:rsidR="00656564" w:rsidRPr="00656564" w:rsidRDefault="00656564" w:rsidP="00656564">
            <w:pPr>
              <w:jc w:val="left"/>
            </w:pPr>
          </w:p>
        </w:tc>
        <w:tc>
          <w:tcPr>
            <w:tcW w:w="8600" w:type="dxa"/>
            <w:gridSpan w:val="2"/>
            <w:hideMark/>
          </w:tcPr>
          <w:p w14:paraId="6D40CDFC" w14:textId="77777777" w:rsidR="00656564" w:rsidRPr="00656564" w:rsidRDefault="00656564" w:rsidP="00656564">
            <w:pPr>
              <w:jc w:val="left"/>
            </w:pPr>
            <w:r w:rsidRPr="00656564">
              <w:rPr>
                <w:rFonts w:hint="eastAsia"/>
              </w:rPr>
              <w:t>支援の好事例や、利用者やその家族からの謝意等の情報を共有する機会の提供</w:t>
            </w:r>
          </w:p>
        </w:tc>
      </w:tr>
    </w:tbl>
    <w:p w14:paraId="0FE7D279" w14:textId="77777777" w:rsidR="00B470A6" w:rsidRPr="00656564" w:rsidRDefault="00B470A6" w:rsidP="00B470A6">
      <w:pPr>
        <w:jc w:val="left"/>
      </w:pPr>
    </w:p>
    <w:sectPr w:rsidR="00B470A6" w:rsidRPr="006565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8AD"/>
    <w:multiLevelType w:val="hybridMultilevel"/>
    <w:tmpl w:val="8E44678C"/>
    <w:lvl w:ilvl="0" w:tplc="268E7C9A">
      <w:start w:val="2"/>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8303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A6"/>
    <w:rsid w:val="00052434"/>
    <w:rsid w:val="00656564"/>
    <w:rsid w:val="00766B6D"/>
    <w:rsid w:val="007F6E05"/>
    <w:rsid w:val="00A17368"/>
    <w:rsid w:val="00AB52F8"/>
    <w:rsid w:val="00B4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CFFDF"/>
  <w15:chartTrackingRefBased/>
  <w15:docId w15:val="{13FD9A11-3213-4B61-9146-042FDA0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0A6"/>
    <w:pPr>
      <w:ind w:leftChars="400" w:left="840"/>
    </w:pPr>
  </w:style>
  <w:style w:type="table" w:styleId="a4">
    <w:name w:val="Table Grid"/>
    <w:basedOn w:val="a1"/>
    <w:uiPriority w:val="39"/>
    <w:rsid w:val="00B4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7088">
      <w:bodyDiv w:val="1"/>
      <w:marLeft w:val="0"/>
      <w:marRight w:val="0"/>
      <w:marTop w:val="0"/>
      <w:marBottom w:val="0"/>
      <w:divBdr>
        <w:top w:val="none" w:sz="0" w:space="0" w:color="auto"/>
        <w:left w:val="none" w:sz="0" w:space="0" w:color="auto"/>
        <w:bottom w:val="none" w:sz="0" w:space="0" w:color="auto"/>
        <w:right w:val="none" w:sz="0" w:space="0" w:color="auto"/>
      </w:divBdr>
    </w:div>
    <w:div w:id="370228954">
      <w:bodyDiv w:val="1"/>
      <w:marLeft w:val="0"/>
      <w:marRight w:val="0"/>
      <w:marTop w:val="0"/>
      <w:marBottom w:val="0"/>
      <w:divBdr>
        <w:top w:val="none" w:sz="0" w:space="0" w:color="auto"/>
        <w:left w:val="none" w:sz="0" w:space="0" w:color="auto"/>
        <w:bottom w:val="none" w:sz="0" w:space="0" w:color="auto"/>
        <w:right w:val="none" w:sz="0" w:space="0" w:color="auto"/>
      </w:divBdr>
    </w:div>
    <w:div w:id="378557358">
      <w:bodyDiv w:val="1"/>
      <w:marLeft w:val="0"/>
      <w:marRight w:val="0"/>
      <w:marTop w:val="0"/>
      <w:marBottom w:val="0"/>
      <w:divBdr>
        <w:top w:val="none" w:sz="0" w:space="0" w:color="auto"/>
        <w:left w:val="none" w:sz="0" w:space="0" w:color="auto"/>
        <w:bottom w:val="none" w:sz="0" w:space="0" w:color="auto"/>
        <w:right w:val="none" w:sz="0" w:space="0" w:color="auto"/>
      </w:divBdr>
    </w:div>
    <w:div w:id="1250695867">
      <w:bodyDiv w:val="1"/>
      <w:marLeft w:val="0"/>
      <w:marRight w:val="0"/>
      <w:marTop w:val="0"/>
      <w:marBottom w:val="0"/>
      <w:divBdr>
        <w:top w:val="none" w:sz="0" w:space="0" w:color="auto"/>
        <w:left w:val="none" w:sz="0" w:space="0" w:color="auto"/>
        <w:bottom w:val="none" w:sz="0" w:space="0" w:color="auto"/>
        <w:right w:val="none" w:sz="0" w:space="0" w:color="auto"/>
      </w:divBdr>
      <w:divsChild>
        <w:div w:id="769356996">
          <w:marLeft w:val="0"/>
          <w:marRight w:val="0"/>
          <w:marTop w:val="600"/>
          <w:marBottom w:val="0"/>
          <w:divBdr>
            <w:top w:val="none" w:sz="0" w:space="0" w:color="auto"/>
            <w:left w:val="none" w:sz="0" w:space="0" w:color="auto"/>
            <w:bottom w:val="none" w:sz="0" w:space="0" w:color="auto"/>
            <w:right w:val="none" w:sz="0" w:space="0" w:color="auto"/>
          </w:divBdr>
        </w:div>
        <w:div w:id="1704937832">
          <w:marLeft w:val="0"/>
          <w:marRight w:val="0"/>
          <w:marTop w:val="300"/>
          <w:marBottom w:val="0"/>
          <w:divBdr>
            <w:top w:val="none" w:sz="0" w:space="0" w:color="auto"/>
            <w:left w:val="none" w:sz="0" w:space="0" w:color="auto"/>
            <w:bottom w:val="none" w:sz="0" w:space="0" w:color="auto"/>
            <w:right w:val="none" w:sz="0" w:space="0" w:color="auto"/>
          </w:divBdr>
          <w:divsChild>
            <w:div w:id="373889305">
              <w:marLeft w:val="0"/>
              <w:marRight w:val="0"/>
              <w:marTop w:val="0"/>
              <w:marBottom w:val="0"/>
              <w:divBdr>
                <w:top w:val="none" w:sz="0" w:space="0" w:color="auto"/>
                <w:left w:val="none" w:sz="0" w:space="0" w:color="auto"/>
                <w:bottom w:val="none" w:sz="0" w:space="0" w:color="auto"/>
                <w:right w:val="none" w:sz="0" w:space="0" w:color="auto"/>
              </w:divBdr>
              <w:divsChild>
                <w:div w:id="882982780">
                  <w:marLeft w:val="0"/>
                  <w:marRight w:val="0"/>
                  <w:marTop w:val="0"/>
                  <w:marBottom w:val="0"/>
                  <w:divBdr>
                    <w:top w:val="none" w:sz="0" w:space="0" w:color="auto"/>
                    <w:left w:val="none" w:sz="0" w:space="0" w:color="auto"/>
                    <w:bottom w:val="none" w:sz="0" w:space="0" w:color="auto"/>
                    <w:right w:val="none" w:sz="0" w:space="0" w:color="auto"/>
                  </w:divBdr>
                  <w:divsChild>
                    <w:div w:id="1050303599">
                      <w:marLeft w:val="0"/>
                      <w:marRight w:val="0"/>
                      <w:marTop w:val="300"/>
                      <w:marBottom w:val="0"/>
                      <w:divBdr>
                        <w:top w:val="none" w:sz="0" w:space="0" w:color="auto"/>
                        <w:left w:val="none" w:sz="0" w:space="0" w:color="auto"/>
                        <w:bottom w:val="none" w:sz="0" w:space="0" w:color="auto"/>
                        <w:right w:val="none" w:sz="0" w:space="0" w:color="auto"/>
                      </w:divBdr>
                      <w:divsChild>
                        <w:div w:id="1357655545">
                          <w:marLeft w:val="0"/>
                          <w:marRight w:val="0"/>
                          <w:marTop w:val="0"/>
                          <w:marBottom w:val="0"/>
                          <w:divBdr>
                            <w:top w:val="none" w:sz="0" w:space="0" w:color="auto"/>
                            <w:left w:val="none" w:sz="0" w:space="0" w:color="auto"/>
                            <w:bottom w:val="none" w:sz="0" w:space="0" w:color="auto"/>
                            <w:right w:val="none" w:sz="0" w:space="0" w:color="auto"/>
                          </w:divBdr>
                          <w:divsChild>
                            <w:div w:id="532766662">
                              <w:marLeft w:val="0"/>
                              <w:marRight w:val="0"/>
                              <w:marTop w:val="0"/>
                              <w:marBottom w:val="0"/>
                              <w:divBdr>
                                <w:top w:val="none" w:sz="0" w:space="0" w:color="auto"/>
                                <w:left w:val="none" w:sz="0" w:space="0" w:color="auto"/>
                                <w:bottom w:val="none" w:sz="0" w:space="0" w:color="auto"/>
                                <w:right w:val="none" w:sz="0" w:space="0" w:color="auto"/>
                              </w:divBdr>
                              <w:divsChild>
                                <w:div w:id="435292919">
                                  <w:marLeft w:val="0"/>
                                  <w:marRight w:val="0"/>
                                  <w:marTop w:val="0"/>
                                  <w:marBottom w:val="0"/>
                                  <w:divBdr>
                                    <w:top w:val="none" w:sz="0" w:space="0" w:color="auto"/>
                                    <w:left w:val="none" w:sz="0" w:space="0" w:color="auto"/>
                                    <w:bottom w:val="none" w:sz="0" w:space="0" w:color="auto"/>
                                    <w:right w:val="none" w:sz="0" w:space="0" w:color="auto"/>
                                  </w:divBdr>
                                  <w:divsChild>
                                    <w:div w:id="572010076">
                                      <w:marLeft w:val="0"/>
                                      <w:marRight w:val="0"/>
                                      <w:marTop w:val="0"/>
                                      <w:marBottom w:val="0"/>
                                      <w:divBdr>
                                        <w:top w:val="none" w:sz="0" w:space="0" w:color="auto"/>
                                        <w:left w:val="none" w:sz="0" w:space="0" w:color="auto"/>
                                        <w:bottom w:val="none" w:sz="0" w:space="0" w:color="auto"/>
                                        <w:right w:val="none" w:sz="0" w:space="0" w:color="auto"/>
                                      </w:divBdr>
                                    </w:div>
                                    <w:div w:id="600837991">
                                      <w:marLeft w:val="0"/>
                                      <w:marRight w:val="0"/>
                                      <w:marTop w:val="0"/>
                                      <w:marBottom w:val="0"/>
                                      <w:divBdr>
                                        <w:top w:val="none" w:sz="0" w:space="0" w:color="auto"/>
                                        <w:left w:val="none" w:sz="0" w:space="0" w:color="auto"/>
                                        <w:bottom w:val="none" w:sz="0" w:space="0" w:color="auto"/>
                                        <w:right w:val="none" w:sz="0" w:space="0" w:color="auto"/>
                                      </w:divBdr>
                                    </w:div>
                                    <w:div w:id="1997300826">
                                      <w:marLeft w:val="0"/>
                                      <w:marRight w:val="0"/>
                                      <w:marTop w:val="0"/>
                                      <w:marBottom w:val="0"/>
                                      <w:divBdr>
                                        <w:top w:val="none" w:sz="0" w:space="0" w:color="auto"/>
                                        <w:left w:val="none" w:sz="0" w:space="0" w:color="auto"/>
                                        <w:bottom w:val="none" w:sz="0" w:space="0" w:color="auto"/>
                                        <w:right w:val="none" w:sz="0" w:space="0" w:color="auto"/>
                                      </w:divBdr>
                                    </w:div>
                                    <w:div w:id="1683701488">
                                      <w:marLeft w:val="0"/>
                                      <w:marRight w:val="0"/>
                                      <w:marTop w:val="0"/>
                                      <w:marBottom w:val="0"/>
                                      <w:divBdr>
                                        <w:top w:val="none" w:sz="0" w:space="0" w:color="auto"/>
                                        <w:left w:val="none" w:sz="0" w:space="0" w:color="auto"/>
                                        <w:bottom w:val="none" w:sz="0" w:space="0" w:color="auto"/>
                                        <w:right w:val="none" w:sz="0" w:space="0" w:color="auto"/>
                                      </w:divBdr>
                                    </w:div>
                                    <w:div w:id="682786485">
                                      <w:marLeft w:val="0"/>
                                      <w:marRight w:val="0"/>
                                      <w:marTop w:val="0"/>
                                      <w:marBottom w:val="0"/>
                                      <w:divBdr>
                                        <w:top w:val="none" w:sz="0" w:space="0" w:color="auto"/>
                                        <w:left w:val="none" w:sz="0" w:space="0" w:color="auto"/>
                                        <w:bottom w:val="none" w:sz="0" w:space="0" w:color="auto"/>
                                        <w:right w:val="none" w:sz="0" w:space="0" w:color="auto"/>
                                      </w:divBdr>
                                    </w:div>
                                    <w:div w:id="580025410">
                                      <w:marLeft w:val="0"/>
                                      <w:marRight w:val="0"/>
                                      <w:marTop w:val="0"/>
                                      <w:marBottom w:val="0"/>
                                      <w:divBdr>
                                        <w:top w:val="none" w:sz="0" w:space="0" w:color="auto"/>
                                        <w:left w:val="none" w:sz="0" w:space="0" w:color="auto"/>
                                        <w:bottom w:val="none" w:sz="0" w:space="0" w:color="auto"/>
                                        <w:right w:val="none" w:sz="0" w:space="0" w:color="auto"/>
                                      </w:divBdr>
                                    </w:div>
                                    <w:div w:id="276646306">
                                      <w:marLeft w:val="0"/>
                                      <w:marRight w:val="0"/>
                                      <w:marTop w:val="0"/>
                                      <w:marBottom w:val="0"/>
                                      <w:divBdr>
                                        <w:top w:val="none" w:sz="0" w:space="0" w:color="auto"/>
                                        <w:left w:val="none" w:sz="0" w:space="0" w:color="auto"/>
                                        <w:bottom w:val="none" w:sz="0" w:space="0" w:color="auto"/>
                                        <w:right w:val="none" w:sz="0" w:space="0" w:color="auto"/>
                                      </w:divBdr>
                                    </w:div>
                                    <w:div w:id="1703238032">
                                      <w:marLeft w:val="0"/>
                                      <w:marRight w:val="0"/>
                                      <w:marTop w:val="0"/>
                                      <w:marBottom w:val="0"/>
                                      <w:divBdr>
                                        <w:top w:val="none" w:sz="0" w:space="0" w:color="auto"/>
                                        <w:left w:val="none" w:sz="0" w:space="0" w:color="auto"/>
                                        <w:bottom w:val="none" w:sz="0" w:space="0" w:color="auto"/>
                                        <w:right w:val="none" w:sz="0" w:space="0" w:color="auto"/>
                                      </w:divBdr>
                                    </w:div>
                                    <w:div w:id="2115518615">
                                      <w:marLeft w:val="0"/>
                                      <w:marRight w:val="0"/>
                                      <w:marTop w:val="0"/>
                                      <w:marBottom w:val="0"/>
                                      <w:divBdr>
                                        <w:top w:val="none" w:sz="0" w:space="0" w:color="auto"/>
                                        <w:left w:val="none" w:sz="0" w:space="0" w:color="auto"/>
                                        <w:bottom w:val="none" w:sz="0" w:space="0" w:color="auto"/>
                                        <w:right w:val="none" w:sz="0" w:space="0" w:color="auto"/>
                                      </w:divBdr>
                                    </w:div>
                                    <w:div w:id="2094205403">
                                      <w:marLeft w:val="0"/>
                                      <w:marRight w:val="0"/>
                                      <w:marTop w:val="0"/>
                                      <w:marBottom w:val="0"/>
                                      <w:divBdr>
                                        <w:top w:val="none" w:sz="0" w:space="0" w:color="auto"/>
                                        <w:left w:val="none" w:sz="0" w:space="0" w:color="auto"/>
                                        <w:bottom w:val="none" w:sz="0" w:space="0" w:color="auto"/>
                                        <w:right w:val="none" w:sz="0" w:space="0" w:color="auto"/>
                                      </w:divBdr>
                                    </w:div>
                                    <w:div w:id="792212771">
                                      <w:marLeft w:val="0"/>
                                      <w:marRight w:val="0"/>
                                      <w:marTop w:val="0"/>
                                      <w:marBottom w:val="0"/>
                                      <w:divBdr>
                                        <w:top w:val="none" w:sz="0" w:space="0" w:color="auto"/>
                                        <w:left w:val="none" w:sz="0" w:space="0" w:color="auto"/>
                                        <w:bottom w:val="none" w:sz="0" w:space="0" w:color="auto"/>
                                        <w:right w:val="none" w:sz="0" w:space="0" w:color="auto"/>
                                      </w:divBdr>
                                    </w:div>
                                    <w:div w:id="358243917">
                                      <w:marLeft w:val="0"/>
                                      <w:marRight w:val="0"/>
                                      <w:marTop w:val="0"/>
                                      <w:marBottom w:val="0"/>
                                      <w:divBdr>
                                        <w:top w:val="none" w:sz="0" w:space="0" w:color="auto"/>
                                        <w:left w:val="none" w:sz="0" w:space="0" w:color="auto"/>
                                        <w:bottom w:val="none" w:sz="0" w:space="0" w:color="auto"/>
                                        <w:right w:val="none" w:sz="0" w:space="0" w:color="auto"/>
                                      </w:divBdr>
                                    </w:div>
                                    <w:div w:id="1517842903">
                                      <w:marLeft w:val="0"/>
                                      <w:marRight w:val="0"/>
                                      <w:marTop w:val="0"/>
                                      <w:marBottom w:val="0"/>
                                      <w:divBdr>
                                        <w:top w:val="none" w:sz="0" w:space="0" w:color="auto"/>
                                        <w:left w:val="none" w:sz="0" w:space="0" w:color="auto"/>
                                        <w:bottom w:val="none" w:sz="0" w:space="0" w:color="auto"/>
                                        <w:right w:val="none" w:sz="0" w:space="0" w:color="auto"/>
                                      </w:divBdr>
                                    </w:div>
                                    <w:div w:id="1725105342">
                                      <w:marLeft w:val="0"/>
                                      <w:marRight w:val="0"/>
                                      <w:marTop w:val="0"/>
                                      <w:marBottom w:val="0"/>
                                      <w:divBdr>
                                        <w:top w:val="none" w:sz="0" w:space="0" w:color="auto"/>
                                        <w:left w:val="none" w:sz="0" w:space="0" w:color="auto"/>
                                        <w:bottom w:val="none" w:sz="0" w:space="0" w:color="auto"/>
                                        <w:right w:val="none" w:sz="0" w:space="0" w:color="auto"/>
                                      </w:divBdr>
                                    </w:div>
                                    <w:div w:id="18600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40979">
      <w:bodyDiv w:val="1"/>
      <w:marLeft w:val="0"/>
      <w:marRight w:val="0"/>
      <w:marTop w:val="0"/>
      <w:marBottom w:val="0"/>
      <w:divBdr>
        <w:top w:val="none" w:sz="0" w:space="0" w:color="auto"/>
        <w:left w:val="none" w:sz="0" w:space="0" w:color="auto"/>
        <w:bottom w:val="none" w:sz="0" w:space="0" w:color="auto"/>
        <w:right w:val="none" w:sz="0" w:space="0" w:color="auto"/>
      </w:divBdr>
      <w:divsChild>
        <w:div w:id="531765435">
          <w:marLeft w:val="0"/>
          <w:marRight w:val="0"/>
          <w:marTop w:val="600"/>
          <w:marBottom w:val="0"/>
          <w:divBdr>
            <w:top w:val="none" w:sz="0" w:space="0" w:color="auto"/>
            <w:left w:val="none" w:sz="0" w:space="0" w:color="auto"/>
            <w:bottom w:val="none" w:sz="0" w:space="0" w:color="auto"/>
            <w:right w:val="none" w:sz="0" w:space="0" w:color="auto"/>
          </w:divBdr>
        </w:div>
        <w:div w:id="589848619">
          <w:marLeft w:val="0"/>
          <w:marRight w:val="0"/>
          <w:marTop w:val="300"/>
          <w:marBottom w:val="0"/>
          <w:divBdr>
            <w:top w:val="none" w:sz="0" w:space="0" w:color="auto"/>
            <w:left w:val="none" w:sz="0" w:space="0" w:color="auto"/>
            <w:bottom w:val="none" w:sz="0" w:space="0" w:color="auto"/>
            <w:right w:val="none" w:sz="0" w:space="0" w:color="auto"/>
          </w:divBdr>
          <w:divsChild>
            <w:div w:id="598176667">
              <w:marLeft w:val="0"/>
              <w:marRight w:val="0"/>
              <w:marTop w:val="0"/>
              <w:marBottom w:val="0"/>
              <w:divBdr>
                <w:top w:val="none" w:sz="0" w:space="0" w:color="auto"/>
                <w:left w:val="none" w:sz="0" w:space="0" w:color="auto"/>
                <w:bottom w:val="none" w:sz="0" w:space="0" w:color="auto"/>
                <w:right w:val="none" w:sz="0" w:space="0" w:color="auto"/>
              </w:divBdr>
              <w:divsChild>
                <w:div w:id="1821188840">
                  <w:marLeft w:val="0"/>
                  <w:marRight w:val="0"/>
                  <w:marTop w:val="0"/>
                  <w:marBottom w:val="0"/>
                  <w:divBdr>
                    <w:top w:val="none" w:sz="0" w:space="0" w:color="auto"/>
                    <w:left w:val="none" w:sz="0" w:space="0" w:color="auto"/>
                    <w:bottom w:val="none" w:sz="0" w:space="0" w:color="auto"/>
                    <w:right w:val="none" w:sz="0" w:space="0" w:color="auto"/>
                  </w:divBdr>
                  <w:divsChild>
                    <w:div w:id="306664430">
                      <w:marLeft w:val="0"/>
                      <w:marRight w:val="0"/>
                      <w:marTop w:val="300"/>
                      <w:marBottom w:val="0"/>
                      <w:divBdr>
                        <w:top w:val="none" w:sz="0" w:space="0" w:color="auto"/>
                        <w:left w:val="none" w:sz="0" w:space="0" w:color="auto"/>
                        <w:bottom w:val="none" w:sz="0" w:space="0" w:color="auto"/>
                        <w:right w:val="none" w:sz="0" w:space="0" w:color="auto"/>
                      </w:divBdr>
                      <w:divsChild>
                        <w:div w:id="1019090579">
                          <w:marLeft w:val="0"/>
                          <w:marRight w:val="0"/>
                          <w:marTop w:val="0"/>
                          <w:marBottom w:val="0"/>
                          <w:divBdr>
                            <w:top w:val="none" w:sz="0" w:space="0" w:color="auto"/>
                            <w:left w:val="none" w:sz="0" w:space="0" w:color="auto"/>
                            <w:bottom w:val="none" w:sz="0" w:space="0" w:color="auto"/>
                            <w:right w:val="none" w:sz="0" w:space="0" w:color="auto"/>
                          </w:divBdr>
                          <w:divsChild>
                            <w:div w:id="2085952359">
                              <w:marLeft w:val="0"/>
                              <w:marRight w:val="0"/>
                              <w:marTop w:val="0"/>
                              <w:marBottom w:val="0"/>
                              <w:divBdr>
                                <w:top w:val="none" w:sz="0" w:space="0" w:color="auto"/>
                                <w:left w:val="none" w:sz="0" w:space="0" w:color="auto"/>
                                <w:bottom w:val="none" w:sz="0" w:space="0" w:color="auto"/>
                                <w:right w:val="none" w:sz="0" w:space="0" w:color="auto"/>
                              </w:divBdr>
                              <w:divsChild>
                                <w:div w:id="1708722573">
                                  <w:marLeft w:val="0"/>
                                  <w:marRight w:val="0"/>
                                  <w:marTop w:val="0"/>
                                  <w:marBottom w:val="0"/>
                                  <w:divBdr>
                                    <w:top w:val="none" w:sz="0" w:space="0" w:color="auto"/>
                                    <w:left w:val="none" w:sz="0" w:space="0" w:color="auto"/>
                                    <w:bottom w:val="none" w:sz="0" w:space="0" w:color="auto"/>
                                    <w:right w:val="none" w:sz="0" w:space="0" w:color="auto"/>
                                  </w:divBdr>
                                  <w:divsChild>
                                    <w:div w:id="1173840758">
                                      <w:marLeft w:val="0"/>
                                      <w:marRight w:val="0"/>
                                      <w:marTop w:val="0"/>
                                      <w:marBottom w:val="0"/>
                                      <w:divBdr>
                                        <w:top w:val="none" w:sz="0" w:space="0" w:color="auto"/>
                                        <w:left w:val="none" w:sz="0" w:space="0" w:color="auto"/>
                                        <w:bottom w:val="none" w:sz="0" w:space="0" w:color="auto"/>
                                        <w:right w:val="none" w:sz="0" w:space="0" w:color="auto"/>
                                      </w:divBdr>
                                    </w:div>
                                    <w:div w:id="1432702872">
                                      <w:marLeft w:val="0"/>
                                      <w:marRight w:val="0"/>
                                      <w:marTop w:val="0"/>
                                      <w:marBottom w:val="0"/>
                                      <w:divBdr>
                                        <w:top w:val="none" w:sz="0" w:space="0" w:color="auto"/>
                                        <w:left w:val="none" w:sz="0" w:space="0" w:color="auto"/>
                                        <w:bottom w:val="none" w:sz="0" w:space="0" w:color="auto"/>
                                        <w:right w:val="none" w:sz="0" w:space="0" w:color="auto"/>
                                      </w:divBdr>
                                    </w:div>
                                    <w:div w:id="274797163">
                                      <w:marLeft w:val="0"/>
                                      <w:marRight w:val="0"/>
                                      <w:marTop w:val="0"/>
                                      <w:marBottom w:val="0"/>
                                      <w:divBdr>
                                        <w:top w:val="none" w:sz="0" w:space="0" w:color="auto"/>
                                        <w:left w:val="none" w:sz="0" w:space="0" w:color="auto"/>
                                        <w:bottom w:val="none" w:sz="0" w:space="0" w:color="auto"/>
                                        <w:right w:val="none" w:sz="0" w:space="0" w:color="auto"/>
                                      </w:divBdr>
                                    </w:div>
                                    <w:div w:id="820926234">
                                      <w:marLeft w:val="0"/>
                                      <w:marRight w:val="0"/>
                                      <w:marTop w:val="0"/>
                                      <w:marBottom w:val="0"/>
                                      <w:divBdr>
                                        <w:top w:val="none" w:sz="0" w:space="0" w:color="auto"/>
                                        <w:left w:val="none" w:sz="0" w:space="0" w:color="auto"/>
                                        <w:bottom w:val="none" w:sz="0" w:space="0" w:color="auto"/>
                                        <w:right w:val="none" w:sz="0" w:space="0" w:color="auto"/>
                                      </w:divBdr>
                                    </w:div>
                                    <w:div w:id="274799558">
                                      <w:marLeft w:val="0"/>
                                      <w:marRight w:val="0"/>
                                      <w:marTop w:val="0"/>
                                      <w:marBottom w:val="0"/>
                                      <w:divBdr>
                                        <w:top w:val="none" w:sz="0" w:space="0" w:color="auto"/>
                                        <w:left w:val="none" w:sz="0" w:space="0" w:color="auto"/>
                                        <w:bottom w:val="none" w:sz="0" w:space="0" w:color="auto"/>
                                        <w:right w:val="none" w:sz="0" w:space="0" w:color="auto"/>
                                      </w:divBdr>
                                    </w:div>
                                    <w:div w:id="2126271057">
                                      <w:marLeft w:val="0"/>
                                      <w:marRight w:val="0"/>
                                      <w:marTop w:val="0"/>
                                      <w:marBottom w:val="0"/>
                                      <w:divBdr>
                                        <w:top w:val="none" w:sz="0" w:space="0" w:color="auto"/>
                                        <w:left w:val="none" w:sz="0" w:space="0" w:color="auto"/>
                                        <w:bottom w:val="none" w:sz="0" w:space="0" w:color="auto"/>
                                        <w:right w:val="none" w:sz="0" w:space="0" w:color="auto"/>
                                      </w:divBdr>
                                    </w:div>
                                    <w:div w:id="163475802">
                                      <w:marLeft w:val="0"/>
                                      <w:marRight w:val="0"/>
                                      <w:marTop w:val="0"/>
                                      <w:marBottom w:val="0"/>
                                      <w:divBdr>
                                        <w:top w:val="none" w:sz="0" w:space="0" w:color="auto"/>
                                        <w:left w:val="none" w:sz="0" w:space="0" w:color="auto"/>
                                        <w:bottom w:val="none" w:sz="0" w:space="0" w:color="auto"/>
                                        <w:right w:val="none" w:sz="0" w:space="0" w:color="auto"/>
                                      </w:divBdr>
                                    </w:div>
                                    <w:div w:id="647440968">
                                      <w:marLeft w:val="0"/>
                                      <w:marRight w:val="0"/>
                                      <w:marTop w:val="0"/>
                                      <w:marBottom w:val="0"/>
                                      <w:divBdr>
                                        <w:top w:val="none" w:sz="0" w:space="0" w:color="auto"/>
                                        <w:left w:val="none" w:sz="0" w:space="0" w:color="auto"/>
                                        <w:bottom w:val="none" w:sz="0" w:space="0" w:color="auto"/>
                                        <w:right w:val="none" w:sz="0" w:space="0" w:color="auto"/>
                                      </w:divBdr>
                                    </w:div>
                                    <w:div w:id="649286291">
                                      <w:marLeft w:val="0"/>
                                      <w:marRight w:val="0"/>
                                      <w:marTop w:val="0"/>
                                      <w:marBottom w:val="0"/>
                                      <w:divBdr>
                                        <w:top w:val="none" w:sz="0" w:space="0" w:color="auto"/>
                                        <w:left w:val="none" w:sz="0" w:space="0" w:color="auto"/>
                                        <w:bottom w:val="none" w:sz="0" w:space="0" w:color="auto"/>
                                        <w:right w:val="none" w:sz="0" w:space="0" w:color="auto"/>
                                      </w:divBdr>
                                    </w:div>
                                    <w:div w:id="61487043">
                                      <w:marLeft w:val="0"/>
                                      <w:marRight w:val="0"/>
                                      <w:marTop w:val="0"/>
                                      <w:marBottom w:val="0"/>
                                      <w:divBdr>
                                        <w:top w:val="none" w:sz="0" w:space="0" w:color="auto"/>
                                        <w:left w:val="none" w:sz="0" w:space="0" w:color="auto"/>
                                        <w:bottom w:val="none" w:sz="0" w:space="0" w:color="auto"/>
                                        <w:right w:val="none" w:sz="0" w:space="0" w:color="auto"/>
                                      </w:divBdr>
                                    </w:div>
                                    <w:div w:id="1057052054">
                                      <w:marLeft w:val="0"/>
                                      <w:marRight w:val="0"/>
                                      <w:marTop w:val="0"/>
                                      <w:marBottom w:val="0"/>
                                      <w:divBdr>
                                        <w:top w:val="none" w:sz="0" w:space="0" w:color="auto"/>
                                        <w:left w:val="none" w:sz="0" w:space="0" w:color="auto"/>
                                        <w:bottom w:val="none" w:sz="0" w:space="0" w:color="auto"/>
                                        <w:right w:val="none" w:sz="0" w:space="0" w:color="auto"/>
                                      </w:divBdr>
                                    </w:div>
                                    <w:div w:id="2084333833">
                                      <w:marLeft w:val="0"/>
                                      <w:marRight w:val="0"/>
                                      <w:marTop w:val="0"/>
                                      <w:marBottom w:val="0"/>
                                      <w:divBdr>
                                        <w:top w:val="none" w:sz="0" w:space="0" w:color="auto"/>
                                        <w:left w:val="none" w:sz="0" w:space="0" w:color="auto"/>
                                        <w:bottom w:val="none" w:sz="0" w:space="0" w:color="auto"/>
                                        <w:right w:val="none" w:sz="0" w:space="0" w:color="auto"/>
                                      </w:divBdr>
                                    </w:div>
                                    <w:div w:id="839807569">
                                      <w:marLeft w:val="0"/>
                                      <w:marRight w:val="0"/>
                                      <w:marTop w:val="0"/>
                                      <w:marBottom w:val="0"/>
                                      <w:divBdr>
                                        <w:top w:val="none" w:sz="0" w:space="0" w:color="auto"/>
                                        <w:left w:val="none" w:sz="0" w:space="0" w:color="auto"/>
                                        <w:bottom w:val="none" w:sz="0" w:space="0" w:color="auto"/>
                                        <w:right w:val="none" w:sz="0" w:space="0" w:color="auto"/>
                                      </w:divBdr>
                                    </w:div>
                                    <w:div w:id="809442900">
                                      <w:marLeft w:val="0"/>
                                      <w:marRight w:val="0"/>
                                      <w:marTop w:val="0"/>
                                      <w:marBottom w:val="0"/>
                                      <w:divBdr>
                                        <w:top w:val="none" w:sz="0" w:space="0" w:color="auto"/>
                                        <w:left w:val="none" w:sz="0" w:space="0" w:color="auto"/>
                                        <w:bottom w:val="none" w:sz="0" w:space="0" w:color="auto"/>
                                        <w:right w:val="none" w:sz="0" w:space="0" w:color="auto"/>
                                      </w:divBdr>
                                    </w:div>
                                    <w:div w:id="20995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sld.lawblow@gmail.com</dc:creator>
  <cp:keywords/>
  <dc:description/>
  <cp:lastModifiedBy>sld.lawblow@gmail.com</cp:lastModifiedBy>
  <cp:revision>3</cp:revision>
  <dcterms:created xsi:type="dcterms:W3CDTF">2023-08-10T07:51:00Z</dcterms:created>
  <dcterms:modified xsi:type="dcterms:W3CDTF">2023-08-17T13:41:00Z</dcterms:modified>
</cp:coreProperties>
</file>